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EEEE8">
      <w:pPr>
        <w:widowControl w:val="0"/>
        <w:jc w:val="center"/>
        <w:rPr>
          <w:rFonts w:hint="eastAsia" w:asciiTheme="minorHAnsi" w:hAnsiTheme="minorHAnsi" w:eastAsiaTheme="minorEastAsia" w:cstheme="minorBidi"/>
          <w:b/>
          <w:bCs/>
          <w:sz w:val="28"/>
          <w:szCs w:val="36"/>
          <w:lang w:val="en-US" w:eastAsia="zh-CN" w:bidi="ar-SA"/>
        </w:rPr>
      </w:pPr>
      <w:r>
        <w:rPr>
          <w:rFonts w:hint="eastAsia" w:asciiTheme="minorHAnsi" w:hAnsiTheme="minorHAnsi" w:eastAsiaTheme="minorEastAsia" w:cstheme="minorBidi"/>
          <w:b/>
          <w:bCs/>
          <w:sz w:val="28"/>
          <w:szCs w:val="36"/>
          <w:lang w:val="en-US" w:eastAsia="zh-CN" w:bidi="ar-SA"/>
        </w:rPr>
        <w:t>项目</w:t>
      </w:r>
      <w:r>
        <w:rPr>
          <w:rFonts w:hint="eastAsia" w:cstheme="minorBidi"/>
          <w:b/>
          <w:bCs/>
          <w:sz w:val="28"/>
          <w:szCs w:val="36"/>
          <w:lang w:val="en-US" w:eastAsia="zh-CN" w:bidi="ar-SA"/>
        </w:rPr>
        <w:t>六</w:t>
      </w:r>
      <w:r>
        <w:rPr>
          <w:rFonts w:hint="eastAsia" w:asciiTheme="minorHAnsi" w:hAnsiTheme="minorHAnsi" w:eastAsiaTheme="minorEastAsia" w:cstheme="minorBidi"/>
          <w:b/>
          <w:bCs/>
          <w:sz w:val="28"/>
          <w:szCs w:val="36"/>
          <w:lang w:val="en-US" w:eastAsia="zh-CN" w:bidi="ar-SA"/>
        </w:rPr>
        <w:t xml:space="preserve"> 登记账簿</w:t>
      </w:r>
    </w:p>
    <w:p w14:paraId="4BE064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419563F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r>
        <w:rPr>
          <w:rFonts w:hint="default" w:ascii="宋体" w:hAnsi="宋体" w:eastAsia="宋体" w:cs="宋体"/>
          <w:sz w:val="24"/>
          <w:szCs w:val="24"/>
          <w:lang w:val="en-US" w:eastAsia="zh-CN" w:bidi="ar-SA"/>
        </w:rPr>
        <w:t>下列各项中，适合采用多栏式账簿的是（　　）。</w:t>
      </w:r>
    </w:p>
    <w:p w14:paraId="24E64B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5"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A、库存现金日记账</w:t>
      </w:r>
    </w:p>
    <w:p w14:paraId="4A4459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6"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B、主营业务收入明细账</w:t>
      </w:r>
    </w:p>
    <w:p w14:paraId="71D590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7"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C、原材料明细账</w:t>
      </w:r>
      <w:r>
        <w:rPr>
          <w:rFonts w:hint="eastAsia" w:ascii="宋体" w:hAnsi="宋体" w:eastAsia="宋体" w:cs="宋体"/>
          <w:sz w:val="24"/>
          <w:szCs w:val="24"/>
          <w:lang w:val="en-US" w:eastAsia="zh-CN" w:bidi="ar-SA"/>
        </w:rPr>
        <w:pict>
          <v:shape id="_x0000_i1028" o:spt="201" type="#_x0000_t201" style="height:0pt;width:0.05pt;" filled="f" coordsize="21600,21600">
            <v:path/>
            <v:fill on="f" focussize="0,0"/>
            <v:stroke/>
            <v:imagedata o:title=""/>
            <o:lock v:ext="edit" aspectratio="t"/>
            <w10:wrap type="none"/>
            <w10:anchorlock/>
          </v:shape>
        </w:pict>
      </w:r>
    </w:p>
    <w:p w14:paraId="30F6E1D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D、应收账款明细账</w:t>
      </w:r>
    </w:p>
    <w:p w14:paraId="733AD6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2.应采用数量金额式账页的账簿是（  ）</w:t>
      </w:r>
    </w:p>
    <w:p w14:paraId="2D61B7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A.应收帐款</w:t>
      </w:r>
    </w:p>
    <w:p w14:paraId="54381B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B.制造费用</w:t>
      </w:r>
    </w:p>
    <w:p w14:paraId="409029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C.库存商品</w:t>
      </w:r>
    </w:p>
    <w:p w14:paraId="5CF919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D.库存现金</w:t>
      </w:r>
    </w:p>
    <w:p w14:paraId="1319B9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3.银行存款日记账与银行对账单之间的核对属于（ ）。</w:t>
      </w:r>
    </w:p>
    <w:p w14:paraId="35811D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A.账实核对</w:t>
      </w:r>
    </w:p>
    <w:p w14:paraId="1E0AF1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B.余额核对</w:t>
      </w:r>
    </w:p>
    <w:p w14:paraId="082E75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C.账证核对</w:t>
      </w:r>
    </w:p>
    <w:p w14:paraId="7B0C0D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D.账账核对</w:t>
      </w:r>
    </w:p>
    <w:p w14:paraId="046FA7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4.下列账簿形式中，（　）适用于原材料、库存商品等存货类明细账。</w:t>
      </w:r>
    </w:p>
    <w:p w14:paraId="747024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A三栏式</w:t>
      </w:r>
    </w:p>
    <w:p w14:paraId="7F4DC6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B多栏式</w:t>
      </w:r>
    </w:p>
    <w:p w14:paraId="74ECF7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C数量金额式</w:t>
      </w:r>
    </w:p>
    <w:p w14:paraId="50002D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D横线登记式</w:t>
      </w:r>
    </w:p>
    <w:p w14:paraId="1452FB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5.结账时，不需要将发生额结平的账户是(  )。</w:t>
      </w:r>
    </w:p>
    <w:p w14:paraId="7FAEAA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A.本年利润</w:t>
      </w:r>
    </w:p>
    <w:p w14:paraId="599FBD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B.利润分配</w:t>
      </w:r>
    </w:p>
    <w:p w14:paraId="07E8C3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C.主营业务收入</w:t>
      </w:r>
    </w:p>
    <w:p w14:paraId="2F1ACB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D.财务费用</w:t>
      </w:r>
    </w:p>
    <w:p w14:paraId="0418A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6.以下各项中，一般不设置备查账簿进行登记的是(  )。</w:t>
      </w:r>
    </w:p>
    <w:p w14:paraId="5E88DB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A.委托加工物资</w:t>
      </w:r>
    </w:p>
    <w:p w14:paraId="526B9B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B.经营性租出的固定资产</w:t>
      </w:r>
    </w:p>
    <w:p w14:paraId="712CAC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C.经营性租入的固定资产</w:t>
      </w:r>
    </w:p>
    <w:p w14:paraId="7E992E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D.商业承兑汇票贴现</w:t>
      </w:r>
    </w:p>
    <w:p w14:paraId="37C130B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7.下列应该使用多栏式账簿的是(  )。</w:t>
      </w:r>
    </w:p>
    <w:p w14:paraId="2D68F7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A.管理费用明细账</w:t>
      </w:r>
    </w:p>
    <w:p w14:paraId="6D2FBD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B.实收资本明细账</w:t>
      </w:r>
    </w:p>
    <w:p w14:paraId="1D804C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C.应收账款明细账</w:t>
      </w:r>
    </w:p>
    <w:p w14:paraId="05B89E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D.库存商品明细账</w:t>
      </w:r>
    </w:p>
    <w:p w14:paraId="175B52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8.下列不宜采用三栏式账页格式的明细账是( )。</w:t>
      </w:r>
    </w:p>
    <w:p w14:paraId="7F0F19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A.应收账款明细账</w:t>
      </w:r>
    </w:p>
    <w:p w14:paraId="77AAC3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B.应付账款明细账</w:t>
      </w:r>
    </w:p>
    <w:p w14:paraId="6C9A58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C.短期借款明细账</w:t>
      </w:r>
    </w:p>
    <w:p w14:paraId="14D6FB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D.管理费用明细账</w:t>
      </w:r>
    </w:p>
    <w:p w14:paraId="00A59B5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r>
        <w:rPr>
          <w:rFonts w:hint="default" w:ascii="宋体" w:hAnsi="宋体" w:eastAsia="宋体" w:cs="宋体"/>
          <w:sz w:val="24"/>
          <w:szCs w:val="24"/>
          <w:lang w:val="en-US" w:eastAsia="zh-CN" w:bidi="ar-SA"/>
        </w:rPr>
        <w:t>.下列对账工作，属于账实核对的是（</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088BBB3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A、总分类账与序时账核对</w:t>
      </w:r>
    </w:p>
    <w:p w14:paraId="526181B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B、总分类账与所属明细分类账核对</w:t>
      </w:r>
    </w:p>
    <w:p w14:paraId="0167013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C</w:t>
      </w:r>
      <w:r>
        <w:rPr>
          <w:rFonts w:hint="default" w:ascii="宋体" w:hAnsi="宋体" w:eastAsia="宋体" w:cs="宋体"/>
          <w:sz w:val="24"/>
          <w:szCs w:val="24"/>
          <w:lang w:val="en-US" w:eastAsia="zh-CN" w:bidi="ar-SA"/>
        </w:rPr>
        <w:t>、会计部门存货明细账与存货保管部门明细账核对</w:t>
      </w:r>
    </w:p>
    <w:p w14:paraId="644CD09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D、财产物资明细账账面余额与财产物资实有数额核对</w:t>
      </w:r>
    </w:p>
    <w:p w14:paraId="089CDC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10.固定资产明细账—般使用( )。</w:t>
      </w:r>
    </w:p>
    <w:p w14:paraId="16039F2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A、活页账</w:t>
      </w:r>
    </w:p>
    <w:p w14:paraId="2D4AEBF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B、订本账</w:t>
      </w:r>
    </w:p>
    <w:p w14:paraId="0760FBF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C、序时账</w:t>
      </w:r>
    </w:p>
    <w:p w14:paraId="712858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D、卡片账</w:t>
      </w:r>
    </w:p>
    <w:p w14:paraId="391570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p>
    <w:p w14:paraId="76C81E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1F0D28B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r>
        <w:rPr>
          <w:rFonts w:hint="default" w:ascii="宋体" w:hAnsi="宋体" w:eastAsia="宋体" w:cs="宋体"/>
          <w:sz w:val="24"/>
          <w:szCs w:val="24"/>
          <w:lang w:val="en-US" w:eastAsia="zh-CN" w:bidi="ar-SA"/>
        </w:rPr>
        <w:t>下列各项核对中，属于账实核对的有(</w:t>
      </w:r>
      <w:r>
        <w:rPr>
          <w:rFonts w:hint="eastAsia" w:ascii="宋体" w:hAnsi="宋体" w:eastAsia="宋体" w:cs="宋体"/>
          <w:sz w:val="24"/>
          <w:szCs w:val="24"/>
          <w:lang w:val="en-US" w:eastAsia="zh-CN" w:bidi="ar-SA"/>
        </w:rPr>
        <w:t xml:space="preserve">  </w:t>
      </w:r>
      <w:r>
        <w:rPr>
          <w:rFonts w:hint="default" w:ascii="宋体" w:hAnsi="宋体" w:eastAsia="宋体" w:cs="宋体"/>
          <w:sz w:val="24"/>
          <w:szCs w:val="24"/>
          <w:lang w:val="en-US" w:eastAsia="zh-CN" w:bidi="ar-SA"/>
        </w:rPr>
        <w:t>)。</w:t>
      </w:r>
    </w:p>
    <w:p w14:paraId="1F9DB4B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A.现金日记账余额与现金实际库存数核对</w:t>
      </w:r>
    </w:p>
    <w:p w14:paraId="50701E6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B.银行存款日记账余额与银行对账单余额进行核对</w:t>
      </w:r>
    </w:p>
    <w:p w14:paraId="1C4AB33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C.各项债权明细账余额与对方单位账面记录核对</w:t>
      </w:r>
    </w:p>
    <w:p w14:paraId="5046655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D.会计部门各财产明细账余额与保管财产部门有关明细账账面余额进行核对</w:t>
      </w:r>
    </w:p>
    <w:p w14:paraId="62EF482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r>
        <w:rPr>
          <w:rFonts w:hint="default" w:ascii="宋体" w:hAnsi="宋体" w:eastAsia="宋体" w:cs="宋体"/>
          <w:sz w:val="24"/>
          <w:szCs w:val="24"/>
          <w:lang w:val="en-US" w:eastAsia="zh-CN" w:bidi="ar-SA"/>
        </w:rPr>
        <w:t>下列关于会计账簿分类的说法中，错误的有（　　）。</w:t>
      </w:r>
    </w:p>
    <w:p w14:paraId="5372FB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29"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A、分类账簿按照反映经济业务的详略程度，分为总分类账簿、明细分类账簿</w:t>
      </w:r>
    </w:p>
    <w:p w14:paraId="7A5E7D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0"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B、会计账簿按照用途，分为订本式账簿、活页式账簿、卡片式账簿</w:t>
      </w:r>
    </w:p>
    <w:p w14:paraId="4A524E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pict>
          <v:shape id="_x0000_i1031" o:spt="201" type="#_x0000_t201" style="height:0pt;width:0.05pt;" filled="f" coordsize="21600,21600">
            <v:path/>
            <v:fill on="f" focussize="0,0"/>
            <v:stroke/>
            <v:imagedata o:title=""/>
            <o:lock v:ext="edit" aspectratio="t"/>
            <w10:wrap type="none"/>
            <w10:anchorlock/>
          </v:shape>
        </w:pict>
      </w:r>
      <w:r>
        <w:rPr>
          <w:rFonts w:hint="eastAsia" w:ascii="宋体" w:hAnsi="宋体" w:eastAsia="宋体" w:cs="宋体"/>
          <w:sz w:val="24"/>
          <w:szCs w:val="24"/>
          <w:lang w:val="en-US" w:eastAsia="zh-CN" w:bidi="ar-SA"/>
        </w:rPr>
        <w:t>C、会计账簿按照账页格式，分为三栏式账簿、多栏式账簿、数量金额式账簿</w:t>
      </w:r>
      <w:r>
        <w:rPr>
          <w:rFonts w:hint="eastAsia" w:ascii="宋体" w:hAnsi="宋体" w:eastAsia="宋体" w:cs="宋体"/>
          <w:sz w:val="24"/>
          <w:szCs w:val="24"/>
          <w:lang w:val="en-US" w:eastAsia="zh-CN" w:bidi="ar-SA"/>
        </w:rPr>
        <w:pict>
          <v:shape id="_x0000_i1032" o:spt="201" type="#_x0000_t201" style="height:0pt;width:0.05pt;" filled="f" coordsize="21600,21600">
            <v:path/>
            <v:fill on="f" focussize="0,0"/>
            <v:stroke/>
            <v:imagedata o:title=""/>
            <o:lock v:ext="edit" aspectratio="t"/>
            <w10:wrap type="none"/>
            <w10:anchorlock/>
          </v:shape>
        </w:pict>
      </w:r>
    </w:p>
    <w:p w14:paraId="57F9045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D、会计账簿按照外形特征，分为序时账簿、分类账簿、备查账簿</w:t>
      </w:r>
    </w:p>
    <w:p w14:paraId="375259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3.下列各项中，属于账账核对内容的有(  )。</w:t>
      </w:r>
    </w:p>
    <w:p w14:paraId="7CDE98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A.总账期末余额与其所辖明细账期末余额之和的核对</w:t>
      </w:r>
    </w:p>
    <w:p w14:paraId="04F9475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B.债权债务明细账账面余额与对方单位债权债务账面记录的核对</w:t>
      </w:r>
    </w:p>
    <w:p w14:paraId="32185B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C.资产、负债、所有者权益各账户总账余额之间平衡关系的核对</w:t>
      </w:r>
    </w:p>
    <w:p w14:paraId="4322D4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D.总账期末余额与序时账期末余额的核对</w:t>
      </w:r>
    </w:p>
    <w:p w14:paraId="11EDD2C2">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4.会计账簿按其外形特征的不同，可以分为(  )。</w:t>
      </w:r>
    </w:p>
    <w:p w14:paraId="480E19EF">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A.备查账簿</w:t>
      </w:r>
    </w:p>
    <w:p w14:paraId="66058EF6">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B.订本账</w:t>
      </w:r>
    </w:p>
    <w:p w14:paraId="48B29BC2">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C.活页账簿</w:t>
      </w:r>
    </w:p>
    <w:p w14:paraId="345F6326">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D．数量金额式账簿</w:t>
      </w:r>
    </w:p>
    <w:p w14:paraId="03871090">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5.在会计账簿扉页启用表上填列的内容包括(  )。</w:t>
      </w:r>
    </w:p>
    <w:p w14:paraId="3868016F">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A.账簿名称</w:t>
      </w:r>
    </w:p>
    <w:p w14:paraId="32863F08">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B.单位名称</w:t>
      </w:r>
    </w:p>
    <w:p w14:paraId="06299240">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C.账户名称</w:t>
      </w:r>
    </w:p>
    <w:p w14:paraId="4880DD8B">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D.启用日期</w:t>
      </w:r>
    </w:p>
    <w:p w14:paraId="6C07B325">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6.必须采用订本式账簿的有(  )。</w:t>
      </w:r>
    </w:p>
    <w:p w14:paraId="19162F7D">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A．现金日记账</w:t>
      </w:r>
    </w:p>
    <w:p w14:paraId="02B9835C">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B.固定资产明细账</w:t>
      </w:r>
    </w:p>
    <w:p w14:paraId="7225E015">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C.银行存款日记账</w:t>
      </w:r>
    </w:p>
    <w:p w14:paraId="738641B7">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D.管理费用总账</w:t>
      </w:r>
    </w:p>
    <w:p w14:paraId="01BB7439">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7.下列说法错误的是(  ）</w:t>
      </w:r>
    </w:p>
    <w:p w14:paraId="5073AE91">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A.现金日记账采用数量金额式账簿</w:t>
      </w:r>
    </w:p>
    <w:p w14:paraId="52F92C50">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B.产成品明细账采用数量金额式账簿</w:t>
      </w:r>
    </w:p>
    <w:p w14:paraId="6362FB2E">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C.生产成本明细账采用三栏式账簿</w:t>
      </w:r>
    </w:p>
    <w:p w14:paraId="08C00BCC">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D.制造费用明细账采用多栏式账簿</w:t>
      </w:r>
    </w:p>
    <w:p w14:paraId="2403BEA3">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8.会计账簿登记规则包括(  ）</w:t>
      </w:r>
    </w:p>
    <w:p w14:paraId="07F9B471">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A</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记账必须有依据</w:t>
      </w:r>
    </w:p>
    <w:p w14:paraId="30DCAF76">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B</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按页次顺序连续记账</w:t>
      </w:r>
    </w:p>
    <w:p w14:paraId="1F95588C">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C.</w:t>
      </w:r>
      <w:r>
        <w:rPr>
          <w:rFonts w:hint="default" w:ascii="宋体" w:hAnsi="宋体" w:eastAsia="宋体" w:cs="宋体"/>
          <w:sz w:val="24"/>
          <w:szCs w:val="24"/>
          <w:lang w:val="en-US" w:eastAsia="zh-CN" w:bidi="ar-SA"/>
        </w:rPr>
        <w:t>账簿记载的内容应与记账凭证一致，不得随便增减</w:t>
      </w:r>
    </w:p>
    <w:p w14:paraId="6EC02FD3">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D</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结清余额</w:t>
      </w:r>
    </w:p>
    <w:p w14:paraId="45B69B1A">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9.以下凭证可能在库存现金日记账的收入栏进行登记的有(  )。</w:t>
      </w:r>
    </w:p>
    <w:p w14:paraId="296D2D1D">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A</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库存现金收款凭证</w:t>
      </w:r>
    </w:p>
    <w:p w14:paraId="06049485">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B</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库存现金付款凭证</w:t>
      </w:r>
    </w:p>
    <w:p w14:paraId="4D950920">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C</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银行存款收款凭证</w:t>
      </w:r>
    </w:p>
    <w:p w14:paraId="238EF85A">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D</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银行存款付款凭证</w:t>
      </w:r>
    </w:p>
    <w:p w14:paraId="0F41C7B8">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10.以下表述正确的有(  )。</w:t>
      </w:r>
    </w:p>
    <w:p w14:paraId="77EA2CE0">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A</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多栏式明细账一般适用于资产类账户</w:t>
      </w:r>
    </w:p>
    <w:p w14:paraId="6D94434D">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B</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在会计核算中，一般应通过财产清查进行账实核对</w:t>
      </w:r>
    </w:p>
    <w:p w14:paraId="46F3C79F">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C</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因记账凭证错误而造成的账簿记录错误，一定采用红字更正法进行更正</w:t>
      </w:r>
    </w:p>
    <w:p w14:paraId="433DC4E1">
      <w:pPr>
        <w:keepNext w:val="0"/>
        <w:keepLines w:val="0"/>
        <w:pageBreakBefore w:val="0"/>
        <w:widowControl w:val="0"/>
        <w:tabs>
          <w:tab w:val="left" w:pos="486"/>
        </w:tabs>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D</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各种日记账、总账及资本、债权债务明细账都可以采用三栏式账簿</w:t>
      </w:r>
    </w:p>
    <w:p w14:paraId="68A281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01AD547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7208568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1.企业在结账前发现总账账簿记录将8000元误记为80000元，但记账凭证无误，则应采用划线更正法更正。（ ）</w:t>
      </w:r>
    </w:p>
    <w:p w14:paraId="5B66A6A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2.在结账前发现账簿记录有文字或数字错误，但记账凭证没有错误，会计人员应采用红字更正法进行更正处理。（　　）</w:t>
      </w:r>
    </w:p>
    <w:p w14:paraId="4D6969A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3.除结账和更正错账业务外，其他记账凭证必须附原始凭证。（  ）</w:t>
      </w:r>
    </w:p>
    <w:p w14:paraId="54E1BB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4.在表结法下，只有在年末时才将全年累计的损益类科目余额结转入“本年利润”科目。（ ）</w:t>
      </w:r>
    </w:p>
    <w:p w14:paraId="2A8710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5.凡是明细账都使用活页式账簿，以便于根据实际需要，随时添加空白账页。（ ）</w:t>
      </w:r>
    </w:p>
    <w:p w14:paraId="35E3F1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r>
        <w:rPr>
          <w:rFonts w:hint="default" w:ascii="宋体" w:hAnsi="宋体" w:eastAsia="宋体" w:cs="宋体"/>
          <w:sz w:val="24"/>
          <w:szCs w:val="24"/>
          <w:lang w:val="en-US" w:eastAsia="zh-CN" w:bidi="ar-SA"/>
        </w:rPr>
        <w:t>启用订本式账簿，除在账簿扉页填列“账簿启用和经管人员一览表”外，还应从第一页到最后一页顺序编定页数，不得跳页、缺号。</w:t>
      </w:r>
      <w:r>
        <w:rPr>
          <w:rFonts w:hint="eastAsia" w:ascii="宋体" w:hAnsi="宋体" w:eastAsia="宋体" w:cs="宋体"/>
          <w:sz w:val="24"/>
          <w:szCs w:val="24"/>
          <w:lang w:val="en-US" w:eastAsia="zh-CN" w:bidi="ar-SA"/>
        </w:rPr>
        <w:t>（ ）</w:t>
      </w:r>
    </w:p>
    <w:p w14:paraId="14FCB9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7.各账户在一张账页记满时，应在该账页最后一行结出余额，并在“摘要”栏注明“转次页”字样。( )</w:t>
      </w:r>
    </w:p>
    <w:p w14:paraId="0672396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8.登记账簿时，发生的空行、空页一定要补充书写，不得注销。（ ）</w:t>
      </w:r>
    </w:p>
    <w:p w14:paraId="420001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9.企业的序时账簿必须采用订本式账簿。( )</w:t>
      </w:r>
    </w:p>
    <w:p w14:paraId="75BE2D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zh-CN" w:bidi="ar-SA"/>
        </w:rPr>
        <w:t>10</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在会计核算中，既要求进行金额核算，又要求进行实物数量核算的各种财产物资，应使用数量金额式明细分类账。</w:t>
      </w:r>
      <w:r>
        <w:rPr>
          <w:rFonts w:hint="eastAsia" w:ascii="宋体" w:hAnsi="宋体" w:eastAsia="宋体" w:cs="宋体"/>
          <w:sz w:val="24"/>
          <w:szCs w:val="24"/>
          <w:lang w:val="en-US" w:eastAsia="zh-CN" w:bidi="ar-SA"/>
        </w:rPr>
        <w:t>（ ）</w:t>
      </w:r>
    </w:p>
    <w:p w14:paraId="2499778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7D20C4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4DEEE6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案例背景：</w:t>
      </w:r>
    </w:p>
    <w:p w14:paraId="227C42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华兴公司2023年11月“库存现金”账户期初借方余额为3500元。11月上旬发生以下涉及现金收付的经济业务（已根据审核无误的记账凭证登记入账）。</w:t>
      </w:r>
    </w:p>
    <w:p w14:paraId="5C5F00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（1）11月2日，从银行提取现金5000元备用。（记账凭证：借：库存现金5000 贷：银行存款5000）</w:t>
      </w:r>
    </w:p>
    <w:p w14:paraId="1279AE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（2）11月5日，行政人员王玲预借差旅费2000元，以现金支付。（记账凭证：借：其他应收款—王玲 2000 贷：库存现金 2000）</w:t>
      </w:r>
    </w:p>
    <w:p w14:paraId="612B2A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（3）11月8日，销售产品取得现金收入（含税）1</w:t>
      </w:r>
      <w:bookmarkStart w:id="0" w:name="_GoBack"/>
      <w:bookmarkEnd w:id="0"/>
      <w:r>
        <w:rPr>
          <w:rFonts w:hint="eastAsia" w:ascii="宋体" w:hAnsi="宋体" w:eastAsia="宋体" w:cs="宋体"/>
          <w:sz w:val="24"/>
          <w:szCs w:val="24"/>
          <w:lang w:val="en-US" w:eastAsia="zh-CN" w:bidi="ar-SA"/>
        </w:rPr>
        <w:t>130元，增值税税率13%。（记账凭证：借：库存现金 1130 贷：主营业务收入 1000 贷：应交税费—应交增值税（销项税额）130）</w:t>
      </w:r>
    </w:p>
    <w:p w14:paraId="795F96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（4）11月10日，以现金支付公司办公用品费850元。（记账凭证：借：管理费用 850 贷：库存现金 850）</w:t>
      </w:r>
    </w:p>
    <w:p w14:paraId="099222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要求：</w:t>
      </w:r>
    </w:p>
    <w:p w14:paraId="47B4C12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1.请根据以上资料，登记华兴公司“库存现金”日记账（三栏式），并完成11月10日的“本日合计”与“本日余额”结算工作。（账簿格式可自行绘制或文字描述登记结果）。</w:t>
      </w:r>
    </w:p>
    <w:p w14:paraId="5FD39F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2.请根据以下情景，判断错误类型，并选择适当的更正方法进行更正（写出更正步骤）。</w:t>
      </w:r>
    </w:p>
    <w:p w14:paraId="74A5FF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情景一：会计在月末对账时发现，11月5日王玲预借差旅费的业务，在记账凭证上误记为“借：其他应收款—王玲 200 贷：库存现金 200”，并已据此登记入账。</w:t>
      </w:r>
    </w:p>
    <w:p w14:paraId="166490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情景二：会计在核对“银行存款”总账与明细账时，发现总账记录正确，但“银行存款—工商银行”明细账中，有一笔支付水电费2370元的记录被误记为2730元。</w:t>
      </w:r>
    </w:p>
    <w:p w14:paraId="786EC3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00D8AF9E">
      <w:pP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br w:type="page"/>
      </w:r>
    </w:p>
    <w:p w14:paraId="4C7315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bidi="ar-SA"/>
        </w:rPr>
      </w:pPr>
      <w:r>
        <w:rPr>
          <w:rFonts w:hint="eastAsia" w:ascii="宋体" w:hAnsi="宋体" w:eastAsia="宋体" w:cs="宋体"/>
          <w:b/>
          <w:bCs/>
          <w:sz w:val="32"/>
          <w:szCs w:val="32"/>
          <w:lang w:val="en-US" w:eastAsia="zh-CN" w:bidi="ar-SA"/>
        </w:rPr>
        <w:t>题库参考答案</w:t>
      </w:r>
    </w:p>
    <w:p w14:paraId="5CD3FE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一、单选题</w:t>
      </w:r>
    </w:p>
    <w:p w14:paraId="325CB12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1.【答案】B。</w:t>
      </w: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选项AD，适合采用三栏式账簿。选项C，适合采用数量金额式账簿。</w:t>
      </w:r>
    </w:p>
    <w:p w14:paraId="0CE0ED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2.【答案】C。解析：原材料、库存商品等明细账一般采用数量金额式账簿，选C。</w:t>
      </w:r>
    </w:p>
    <w:p w14:paraId="60DB8E8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3.【答案】A。</w:t>
      </w:r>
      <w:r>
        <w:rPr>
          <w:rFonts w:hint="default" w:ascii="宋体" w:hAnsi="宋体" w:eastAsia="宋体" w:cs="宋体"/>
          <w:sz w:val="24"/>
          <w:szCs w:val="24"/>
          <w:lang w:val="en-US" w:eastAsia="zh-CN" w:bidi="ar-SA"/>
        </w:rPr>
        <w:t>解析:账实核对主要包括:D库存现金日记账账面余额与现金实际库存数核对，2银行存款日记账账面余额与银行对账单余额核对;3各项财产物资明细账账面余额与财产物资实有数额核对;4有关债权债务明细账账面余额与对方单位债权债务账面记录核对。</w:t>
      </w:r>
    </w:p>
    <w:p w14:paraId="39D237F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4.【答案】C。</w:t>
      </w:r>
      <w:r>
        <w:rPr>
          <w:rFonts w:hint="default" w:ascii="宋体" w:hAnsi="宋体" w:eastAsia="宋体" w:cs="宋体"/>
          <w:sz w:val="24"/>
          <w:szCs w:val="24"/>
          <w:lang w:val="en-US" w:eastAsia="zh-CN" w:bidi="ar-SA"/>
        </w:rPr>
        <w:t>解析:原材料、库存商品、产成品等明细账应采用数量金额式账簿。</w:t>
      </w:r>
    </w:p>
    <w:p w14:paraId="3202FC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5.【答案】B。解析：结账时应当将损益类账户结平，此外，本年利润也应当转入利润分配账户，结转后账户无余额。利润分配账户不需要结平，根据其余额列于资产负债表的所有者权益部分。</w:t>
      </w:r>
    </w:p>
    <w:p w14:paraId="70D72B0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6.【答案】B。解析：一般而言，委托加工物资、经营性租入的固定资产、商业承兑汇票贴现会设置备查账簿进行登记，对经营性租出的固定资产不设置备查账簿。</w:t>
      </w:r>
    </w:p>
    <w:p w14:paraId="14695C7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7.【答案】A。解析：多栏式账簿适用于成本类、费用类、收入类明细账，以及应交增值税明细账。BC适用于三栏式账簿，D适用于数量金额式账簿。</w:t>
      </w:r>
    </w:p>
    <w:p w14:paraId="7230A5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8.【答案】D。解析:本题考核三栏式账簿的适用范围。各种日记账、总分类账以及资本、债权、债务明细账都可采用三栏式账簿;收入、费用和成本类明细账一般采用多栏式账簿，所以本题应该选择D</w:t>
      </w:r>
    </w:p>
    <w:p w14:paraId="1B9D73B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w:t>
      </w:r>
      <w:r>
        <w:rPr>
          <w:rFonts w:hint="default" w:ascii="宋体" w:hAnsi="宋体" w:eastAsia="宋体" w:cs="宋体"/>
          <w:sz w:val="24"/>
          <w:szCs w:val="24"/>
          <w:lang w:val="en-US" w:eastAsia="zh-CN" w:bidi="ar-SA"/>
        </w:rPr>
        <w:t>答案</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D</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解析:前三个选项都是账账核对。2.固定资产明细账—般使用( ) 。</w:t>
      </w:r>
    </w:p>
    <w:p w14:paraId="685822A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r>
        <w:rPr>
          <w:rFonts w:hint="default" w:ascii="宋体" w:hAnsi="宋体" w:eastAsia="宋体" w:cs="宋体"/>
          <w:sz w:val="24"/>
          <w:szCs w:val="24"/>
          <w:lang w:val="en-US" w:eastAsia="zh-CN" w:bidi="ar-SA"/>
        </w:rPr>
        <w:t>答案</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D</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解析:固定资产明细账—般都是使用卡片账。</w:t>
      </w:r>
    </w:p>
    <w:p w14:paraId="7B8B8DC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6CD314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二、多选题</w:t>
      </w:r>
    </w:p>
    <w:p w14:paraId="5CB49CD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w:t>
      </w:r>
      <w:r>
        <w:rPr>
          <w:rFonts w:hint="default" w:ascii="宋体" w:hAnsi="宋体" w:eastAsia="宋体" w:cs="宋体"/>
          <w:sz w:val="24"/>
          <w:szCs w:val="24"/>
          <w:lang w:val="en-US" w:eastAsia="zh-CN" w:bidi="ar-SA"/>
        </w:rPr>
        <w:t>ABC</w:t>
      </w:r>
    </w:p>
    <w:p w14:paraId="3808141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账实核对是核对会计账簿记录与财产实有数额是否相符。主要包括：现金日记账账面余额与现金实际库存数相核对（A选项）;银行存款日记账账面余额与银行对账单相核对（B选项）;各种财产物资明细账账面余额与财产物资实存数额相核对;各种应收、应付明细账账面余额与有关债权、债务单位或个人相核对等（C选项）</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D 选项属于账账核对，不选</w:t>
      </w:r>
      <w:r>
        <w:rPr>
          <w:rFonts w:hint="eastAsia" w:ascii="宋体" w:hAnsi="宋体" w:eastAsia="宋体" w:cs="宋体"/>
          <w:sz w:val="24"/>
          <w:szCs w:val="24"/>
          <w:lang w:val="en-US" w:eastAsia="zh-CN" w:bidi="ar-SA"/>
        </w:rPr>
        <w:t>。</w:t>
      </w:r>
    </w:p>
    <w:p w14:paraId="3472F31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2.【答案】BD</w:t>
      </w:r>
    </w:p>
    <w:p w14:paraId="45D6EC0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解析:选项B错误，会计账簿按照用途，可以分为序时账簿、分类账簿和备查账簿。选项D错误，会计账簿按照外形特征，可以分为订本式账簿、活页式账簿、卡片式账簿。</w:t>
      </w:r>
    </w:p>
    <w:p w14:paraId="3064D28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3.【答案】ACD</w:t>
      </w:r>
    </w:p>
    <w:p w14:paraId="76E855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解析：选项B属于账实核对。</w:t>
      </w:r>
    </w:p>
    <w:p w14:paraId="1DB3A0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4.</w:t>
      </w:r>
      <w:r>
        <w:rPr>
          <w:rFonts w:hint="default" w:ascii="宋体" w:hAnsi="宋体" w:eastAsia="宋体" w:cs="宋体"/>
          <w:sz w:val="24"/>
          <w:szCs w:val="24"/>
          <w:lang w:val="en-US" w:eastAsia="zh-CN" w:bidi="ar-SA"/>
        </w:rPr>
        <w:t>【答案】B</w:t>
      </w:r>
      <w:r>
        <w:rPr>
          <w:rFonts w:hint="eastAsia" w:ascii="宋体" w:hAnsi="宋体" w:eastAsia="宋体" w:cs="宋体"/>
          <w:sz w:val="24"/>
          <w:szCs w:val="24"/>
          <w:lang w:val="en-US" w:eastAsia="zh-CN" w:bidi="ar-SA"/>
        </w:rPr>
        <w:t>C</w:t>
      </w:r>
    </w:p>
    <w:p w14:paraId="44407A9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账簿按其外型特征不同可分为订本账、活页账和卡片账三种。</w:t>
      </w:r>
    </w:p>
    <w:p w14:paraId="747B68E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r>
        <w:rPr>
          <w:rFonts w:hint="default" w:ascii="宋体" w:hAnsi="宋体" w:eastAsia="宋体" w:cs="宋体"/>
          <w:sz w:val="24"/>
          <w:szCs w:val="24"/>
          <w:lang w:val="en-US" w:eastAsia="zh-CN" w:bidi="ar-SA"/>
        </w:rPr>
        <w:t>【答案】ABD</w:t>
      </w:r>
    </w:p>
    <w:p w14:paraId="39DA57B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：启</w:t>
      </w:r>
      <w:r>
        <w:rPr>
          <w:rFonts w:hint="default" w:ascii="宋体" w:hAnsi="宋体" w:eastAsia="宋体" w:cs="宋体"/>
          <w:sz w:val="24"/>
          <w:szCs w:val="24"/>
          <w:lang w:val="en-US" w:eastAsia="zh-CN" w:bidi="ar-SA"/>
        </w:rPr>
        <w:t>用表内载明:单位名称、账簿名称、账簿编号、账簿页数、</w:t>
      </w:r>
      <w:r>
        <w:rPr>
          <w:rFonts w:hint="eastAsia" w:ascii="宋体" w:hAnsi="宋体" w:eastAsia="宋体" w:cs="宋体"/>
          <w:sz w:val="24"/>
          <w:szCs w:val="24"/>
          <w:lang w:val="en-US" w:eastAsia="zh-CN" w:bidi="ar-SA"/>
        </w:rPr>
        <w:t>启</w:t>
      </w:r>
      <w:r>
        <w:rPr>
          <w:rFonts w:hint="default" w:ascii="宋体" w:hAnsi="宋体" w:eastAsia="宋体" w:cs="宋体"/>
          <w:sz w:val="24"/>
          <w:szCs w:val="24"/>
          <w:lang w:val="en-US" w:eastAsia="zh-CN" w:bidi="ar-SA"/>
        </w:rPr>
        <w:t>用日期、记账人员和会计主管人员姓名，并加盖有关人员的签章和单位公章。</w:t>
      </w:r>
    </w:p>
    <w:p w14:paraId="14D9957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w:t>
      </w:r>
      <w:r>
        <w:rPr>
          <w:rFonts w:hint="default" w:ascii="宋体" w:hAnsi="宋体" w:eastAsia="宋体" w:cs="宋体"/>
          <w:sz w:val="24"/>
          <w:szCs w:val="24"/>
          <w:lang w:val="en-US" w:eastAsia="zh-CN" w:bidi="ar-SA"/>
        </w:rPr>
        <w:t>【答案】ACD</w:t>
      </w:r>
    </w:p>
    <w:p w14:paraId="4C1E060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订本账一般适用于总分类账、现金日记账、银行存款日记账。</w:t>
      </w:r>
    </w:p>
    <w:p w14:paraId="04FB26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7.【答案】AC</w:t>
      </w:r>
    </w:p>
    <w:p w14:paraId="065C4B6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default" w:ascii="宋体" w:hAnsi="宋体" w:eastAsia="宋体" w:cs="宋体"/>
          <w:sz w:val="24"/>
          <w:szCs w:val="24"/>
          <w:lang w:val="en-US" w:eastAsia="zh-CN" w:bidi="ar-SA"/>
        </w:rPr>
        <w:t>解析</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现金日记账采用</w:t>
      </w:r>
      <w:r>
        <w:rPr>
          <w:rFonts w:hint="eastAsia" w:ascii="宋体" w:hAnsi="宋体" w:eastAsia="宋体" w:cs="宋体"/>
          <w:sz w:val="24"/>
          <w:szCs w:val="24"/>
          <w:lang w:val="en-US" w:eastAsia="zh-CN" w:bidi="ar-SA"/>
        </w:rPr>
        <w:t>三</w:t>
      </w:r>
      <w:r>
        <w:rPr>
          <w:rFonts w:hint="default" w:ascii="宋体" w:hAnsi="宋体" w:eastAsia="宋体" w:cs="宋体"/>
          <w:sz w:val="24"/>
          <w:szCs w:val="24"/>
          <w:lang w:val="en-US" w:eastAsia="zh-CN" w:bidi="ar-SA"/>
        </w:rPr>
        <w:t>栏式账簿</w:t>
      </w:r>
      <w:r>
        <w:rPr>
          <w:rFonts w:hint="eastAsia" w:ascii="宋体" w:hAnsi="宋体" w:eastAsia="宋体" w:cs="宋体"/>
          <w:sz w:val="24"/>
          <w:szCs w:val="24"/>
          <w:lang w:val="en-US" w:eastAsia="zh-CN" w:bidi="ar-SA"/>
        </w:rPr>
        <w:t>；</w:t>
      </w:r>
      <w:r>
        <w:rPr>
          <w:rFonts w:hint="default" w:ascii="宋体" w:hAnsi="宋体" w:eastAsia="宋体" w:cs="宋体"/>
          <w:sz w:val="24"/>
          <w:szCs w:val="24"/>
          <w:lang w:val="en-US" w:eastAsia="zh-CN" w:bidi="ar-SA"/>
        </w:rPr>
        <w:t>生产成本明细账采用多栏式账簿。</w:t>
      </w:r>
    </w:p>
    <w:p w14:paraId="2B7A87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8.【答案】ABCD</w:t>
      </w:r>
    </w:p>
    <w:p w14:paraId="2D4600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解析：ABCD均可能在库存现金日记账的收入栏进行登记。</w:t>
      </w:r>
    </w:p>
    <w:p w14:paraId="428DE7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9.【答案】AD</w:t>
      </w:r>
    </w:p>
    <w:p w14:paraId="4541FB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解析：现金增加只能根据现金收款凭证和银行存款付款凭证(从银行提取现金业务)登记。</w:t>
      </w:r>
    </w:p>
    <w:p w14:paraId="272D1C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10.【答案】BD</w:t>
      </w:r>
    </w:p>
    <w:p w14:paraId="6590FA4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解析：多栏式明细账适用于收入、费用类账户，故选项A错误；因记账凭证造成的错误还可能采用补充登记法，故选项C错误。</w:t>
      </w:r>
    </w:p>
    <w:p w14:paraId="01D6525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p w14:paraId="6A88DA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三、判断题</w:t>
      </w:r>
    </w:p>
    <w:p w14:paraId="17850A7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1.【答案】对。</w:t>
      </w:r>
      <w:r>
        <w:rPr>
          <w:rFonts w:hint="default" w:ascii="宋体" w:hAnsi="宋体" w:eastAsia="宋体" w:cs="宋体"/>
          <w:sz w:val="24"/>
          <w:szCs w:val="24"/>
          <w:lang w:val="en-US" w:eastAsia="zh-CN" w:bidi="ar-SA"/>
        </w:rPr>
        <w:t>解析:在结账前发现账簿记录有文字或数字错误，而记账凭证没有错误，应当采用划线更正法。</w:t>
      </w:r>
    </w:p>
    <w:p w14:paraId="7BB1569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2.【答案】错。解析:在结账前发现账簿记录有文字或数字错误，而记账凭证没有错误，应当采用划线更正法进行更正处理。</w:t>
      </w:r>
    </w:p>
    <w:p w14:paraId="02C094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3.【答案】对。解析：表述正确。</w:t>
      </w:r>
    </w:p>
    <w:p w14:paraId="0996DF7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4.【答案】对。解析：表述正确。</w:t>
      </w:r>
    </w:p>
    <w:p w14:paraId="1622CA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5.【答案】对。解析：表述正确。</w:t>
      </w:r>
    </w:p>
    <w:p w14:paraId="1B7C7F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6.【答案】对。解析：表述正确。</w:t>
      </w:r>
    </w:p>
    <w:p w14:paraId="3FFC8FE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答案】错。解析：每一账页登记完毕结转下页时，应当结出本页合计数及余额，写在本页最后一行和下页第一行有关栏内，并在摘要栏内注明“过次页”和“承前页”字样;也可以将本页合计数及金额只写在下页第一行有关栏内，并在摘要栏内注明“承前页”字样，以保持账簿记录的连续性，便于对账和结账。</w:t>
      </w:r>
    </w:p>
    <w:p w14:paraId="4267F7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8.【答案】错。解析：在登记各种账簿时，应按页次顺序连续登记，不得隔页、跳行。如无意发生隔页、跳行现象，应在空页、空行处用红色墨水划对角线注销，或者注明“此页空白”或“此行空白”字样，并由记账人员签名或者签章。</w:t>
      </w:r>
    </w:p>
    <w:p w14:paraId="28FC065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9.【答案】对。解析：表述正确。</w:t>
      </w:r>
    </w:p>
    <w:p w14:paraId="78BBA70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10.【答案】对。解析：表述正确。</w:t>
      </w:r>
    </w:p>
    <w:p w14:paraId="5DA923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p w14:paraId="2DF487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lang w:val="en-US" w:eastAsia="zh-CN" w:bidi="ar-SA"/>
        </w:rPr>
      </w:pPr>
      <w:r>
        <w:rPr>
          <w:rFonts w:hint="eastAsia" w:ascii="宋体" w:hAnsi="宋体" w:eastAsia="宋体" w:cs="宋体"/>
          <w:b/>
          <w:bCs/>
          <w:sz w:val="24"/>
          <w:szCs w:val="24"/>
          <w:lang w:val="en-US" w:eastAsia="zh-CN" w:bidi="ar-SA"/>
        </w:rPr>
        <w:t>四、综合题</w:t>
      </w:r>
    </w:p>
    <w:p w14:paraId="35956D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【答案要点】</w:t>
      </w:r>
    </w:p>
    <w:p w14:paraId="59A843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1.“库存现金”日记账登记（示例）：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1218"/>
        <w:gridCol w:w="1218"/>
        <w:gridCol w:w="1218"/>
      </w:tblGrid>
      <w:tr w14:paraId="2A48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tcPr>
          <w:p w14:paraId="7CAAC6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2023年</w:t>
            </w:r>
          </w:p>
        </w:tc>
        <w:tc>
          <w:tcPr>
            <w:tcW w:w="1217" w:type="dxa"/>
            <w:vMerge w:val="restart"/>
          </w:tcPr>
          <w:p w14:paraId="0E13ED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凭证号</w:t>
            </w:r>
          </w:p>
        </w:tc>
        <w:tc>
          <w:tcPr>
            <w:tcW w:w="1217" w:type="dxa"/>
            <w:vMerge w:val="restart"/>
          </w:tcPr>
          <w:p w14:paraId="09C318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摘要</w:t>
            </w:r>
          </w:p>
        </w:tc>
        <w:tc>
          <w:tcPr>
            <w:tcW w:w="1218" w:type="dxa"/>
          </w:tcPr>
          <w:p w14:paraId="14666C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借方</w:t>
            </w:r>
          </w:p>
        </w:tc>
        <w:tc>
          <w:tcPr>
            <w:tcW w:w="1218" w:type="dxa"/>
          </w:tcPr>
          <w:p w14:paraId="045174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贷方</w:t>
            </w:r>
          </w:p>
        </w:tc>
        <w:tc>
          <w:tcPr>
            <w:tcW w:w="1218" w:type="dxa"/>
          </w:tcPr>
          <w:p w14:paraId="28F383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余额</w:t>
            </w:r>
          </w:p>
        </w:tc>
      </w:tr>
      <w:tr w14:paraId="13F1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00644E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月</w:t>
            </w:r>
          </w:p>
        </w:tc>
        <w:tc>
          <w:tcPr>
            <w:tcW w:w="1217" w:type="dxa"/>
          </w:tcPr>
          <w:p w14:paraId="3E6B51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日</w:t>
            </w:r>
          </w:p>
        </w:tc>
        <w:tc>
          <w:tcPr>
            <w:tcW w:w="1217" w:type="dxa"/>
            <w:vMerge w:val="continue"/>
          </w:tcPr>
          <w:p w14:paraId="555799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7" w:type="dxa"/>
            <w:vMerge w:val="continue"/>
          </w:tcPr>
          <w:p w14:paraId="6E2082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6C2C49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3D8CC6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321BC3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r>
      <w:tr w14:paraId="1F90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1C5F1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p>
        </w:tc>
        <w:tc>
          <w:tcPr>
            <w:tcW w:w="1217" w:type="dxa"/>
          </w:tcPr>
          <w:p w14:paraId="3655B9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w:t>
            </w:r>
          </w:p>
        </w:tc>
        <w:tc>
          <w:tcPr>
            <w:tcW w:w="1217" w:type="dxa"/>
          </w:tcPr>
          <w:p w14:paraId="3A1480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7" w:type="dxa"/>
          </w:tcPr>
          <w:p w14:paraId="41CC29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期初余额</w:t>
            </w:r>
          </w:p>
        </w:tc>
        <w:tc>
          <w:tcPr>
            <w:tcW w:w="1218" w:type="dxa"/>
          </w:tcPr>
          <w:p w14:paraId="47E884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2CC3F1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166F38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3500</w:t>
            </w:r>
          </w:p>
        </w:tc>
      </w:tr>
      <w:tr w14:paraId="67E0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7BCDEE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p>
        </w:tc>
        <w:tc>
          <w:tcPr>
            <w:tcW w:w="1217" w:type="dxa"/>
          </w:tcPr>
          <w:p w14:paraId="5A29695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w:t>
            </w:r>
          </w:p>
        </w:tc>
        <w:tc>
          <w:tcPr>
            <w:tcW w:w="1217" w:type="dxa"/>
          </w:tcPr>
          <w:p w14:paraId="40FE77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记-1</w:t>
            </w:r>
          </w:p>
        </w:tc>
        <w:tc>
          <w:tcPr>
            <w:tcW w:w="1217" w:type="dxa"/>
          </w:tcPr>
          <w:p w14:paraId="32E646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提现备用</w:t>
            </w:r>
          </w:p>
        </w:tc>
        <w:tc>
          <w:tcPr>
            <w:tcW w:w="1218" w:type="dxa"/>
          </w:tcPr>
          <w:p w14:paraId="056D11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5000</w:t>
            </w:r>
          </w:p>
        </w:tc>
        <w:tc>
          <w:tcPr>
            <w:tcW w:w="1218" w:type="dxa"/>
          </w:tcPr>
          <w:p w14:paraId="5FF6F0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4E56435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8500</w:t>
            </w:r>
          </w:p>
        </w:tc>
      </w:tr>
      <w:tr w14:paraId="32FBF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73AAA0B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p>
        </w:tc>
        <w:tc>
          <w:tcPr>
            <w:tcW w:w="1217" w:type="dxa"/>
          </w:tcPr>
          <w:p w14:paraId="010D910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5</w:t>
            </w:r>
          </w:p>
        </w:tc>
        <w:tc>
          <w:tcPr>
            <w:tcW w:w="1217" w:type="dxa"/>
          </w:tcPr>
          <w:p w14:paraId="5ABC04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记-2</w:t>
            </w:r>
          </w:p>
        </w:tc>
        <w:tc>
          <w:tcPr>
            <w:tcW w:w="1217" w:type="dxa"/>
          </w:tcPr>
          <w:p w14:paraId="57CBF5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王玲借差旅费</w:t>
            </w:r>
          </w:p>
        </w:tc>
        <w:tc>
          <w:tcPr>
            <w:tcW w:w="1218" w:type="dxa"/>
          </w:tcPr>
          <w:p w14:paraId="4BEE3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13BC599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2000</w:t>
            </w:r>
          </w:p>
        </w:tc>
        <w:tc>
          <w:tcPr>
            <w:tcW w:w="1218" w:type="dxa"/>
          </w:tcPr>
          <w:p w14:paraId="1BCEF41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6500</w:t>
            </w:r>
          </w:p>
        </w:tc>
      </w:tr>
      <w:tr w14:paraId="6D95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7DC491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p>
        </w:tc>
        <w:tc>
          <w:tcPr>
            <w:tcW w:w="1217" w:type="dxa"/>
          </w:tcPr>
          <w:p w14:paraId="3FD8CB7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w:t>
            </w:r>
          </w:p>
        </w:tc>
        <w:tc>
          <w:tcPr>
            <w:tcW w:w="1217" w:type="dxa"/>
          </w:tcPr>
          <w:p w14:paraId="7C7772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记-3</w:t>
            </w:r>
          </w:p>
        </w:tc>
        <w:tc>
          <w:tcPr>
            <w:tcW w:w="1217" w:type="dxa"/>
          </w:tcPr>
          <w:p w14:paraId="56A271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销售产品收现</w:t>
            </w:r>
          </w:p>
        </w:tc>
        <w:tc>
          <w:tcPr>
            <w:tcW w:w="1218" w:type="dxa"/>
          </w:tcPr>
          <w:p w14:paraId="17A5D16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1130</w:t>
            </w:r>
          </w:p>
        </w:tc>
        <w:tc>
          <w:tcPr>
            <w:tcW w:w="1218" w:type="dxa"/>
          </w:tcPr>
          <w:p w14:paraId="18C599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46BA1CE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7630</w:t>
            </w:r>
          </w:p>
        </w:tc>
      </w:tr>
      <w:tr w14:paraId="52D8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6D12F7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p>
        </w:tc>
        <w:tc>
          <w:tcPr>
            <w:tcW w:w="1217" w:type="dxa"/>
          </w:tcPr>
          <w:p w14:paraId="48E6467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p>
        </w:tc>
        <w:tc>
          <w:tcPr>
            <w:tcW w:w="1217" w:type="dxa"/>
          </w:tcPr>
          <w:p w14:paraId="52F623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记-4</w:t>
            </w:r>
          </w:p>
        </w:tc>
        <w:tc>
          <w:tcPr>
            <w:tcW w:w="1217" w:type="dxa"/>
          </w:tcPr>
          <w:p w14:paraId="0C41F2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支付办公费</w:t>
            </w:r>
          </w:p>
        </w:tc>
        <w:tc>
          <w:tcPr>
            <w:tcW w:w="1218" w:type="dxa"/>
          </w:tcPr>
          <w:p w14:paraId="70E688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8" w:type="dxa"/>
          </w:tcPr>
          <w:p w14:paraId="4CB74AD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850</w:t>
            </w:r>
          </w:p>
        </w:tc>
        <w:tc>
          <w:tcPr>
            <w:tcW w:w="1218" w:type="dxa"/>
          </w:tcPr>
          <w:p w14:paraId="0915538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6780</w:t>
            </w:r>
          </w:p>
        </w:tc>
      </w:tr>
      <w:tr w14:paraId="18DB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Pr>
          <w:p w14:paraId="1BCFF5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11</w:t>
            </w:r>
          </w:p>
        </w:tc>
        <w:tc>
          <w:tcPr>
            <w:tcW w:w="1217" w:type="dxa"/>
          </w:tcPr>
          <w:p w14:paraId="79B0C1C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10</w:t>
            </w:r>
          </w:p>
        </w:tc>
        <w:tc>
          <w:tcPr>
            <w:tcW w:w="1217" w:type="dxa"/>
          </w:tcPr>
          <w:p w14:paraId="4B4EE5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p>
        </w:tc>
        <w:tc>
          <w:tcPr>
            <w:tcW w:w="1217" w:type="dxa"/>
          </w:tcPr>
          <w:p w14:paraId="5E073D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本日合计</w:t>
            </w:r>
          </w:p>
        </w:tc>
        <w:tc>
          <w:tcPr>
            <w:tcW w:w="1218" w:type="dxa"/>
          </w:tcPr>
          <w:p w14:paraId="6F0D7C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w:t>
            </w:r>
          </w:p>
        </w:tc>
        <w:tc>
          <w:tcPr>
            <w:tcW w:w="1218" w:type="dxa"/>
          </w:tcPr>
          <w:p w14:paraId="17AA362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850</w:t>
            </w:r>
          </w:p>
        </w:tc>
        <w:tc>
          <w:tcPr>
            <w:tcW w:w="1218" w:type="dxa"/>
          </w:tcPr>
          <w:p w14:paraId="3E893B8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6780</w:t>
            </w:r>
          </w:p>
        </w:tc>
      </w:tr>
    </w:tbl>
    <w:p w14:paraId="533F5E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（在“本日合计”行上下各划一条单红线，11日无业务则不填）</w:t>
      </w:r>
    </w:p>
    <w:p w14:paraId="28EE13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2.情景一：记账凭证科目正确，金额少记（2000误为200）。应采用补充登记法。</w:t>
      </w:r>
    </w:p>
    <w:p w14:paraId="1B8458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更正步骤：①按少记金额1800元编制蓝字记账凭证：借：其他应收款—王玲 1800 贷：库存现金 1800。②据以登记入账。</w:t>
      </w:r>
    </w:p>
    <w:p w14:paraId="724FB3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情景二：记账凭证正确，过账时明细账金额记录错误（此处题干“2370误记为2730”意味着账面多记360元）。应采用划线更正法。</w:t>
      </w:r>
    </w:p>
    <w:p w14:paraId="4F647E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更正步骤：①在错误数字2730上划一条单红线注销，保持原有字迹清晰。②在红线上方空白处用蓝字写上正确数字2370。③由更正人员在更正处盖章。</w:t>
      </w:r>
    </w:p>
    <w:p w14:paraId="74ABFE4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6761DA"/>
    <w:rsid w:val="00CF7E64"/>
    <w:rsid w:val="11C32BF8"/>
    <w:rsid w:val="13BC5769"/>
    <w:rsid w:val="2AC2648B"/>
    <w:rsid w:val="2B0F0363"/>
    <w:rsid w:val="3E7632CB"/>
    <w:rsid w:val="7D066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1949</Words>
  <Characters>2133</Characters>
  <Lines>0</Lines>
  <Paragraphs>0</Paragraphs>
  <TotalTime>3</TotalTime>
  <ScaleCrop>false</ScaleCrop>
  <LinksUpToDate>false</LinksUpToDate>
  <CharactersWithSpaces>2163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2025-11-15T09:21:00Z</dcterms:created>
  <dc:creator>雪灵鸢</dc:creator>
  <cp:lastModifiedBy>雪灵鸢</cp:lastModifiedBy>
  <dcterms:modified xsi:type="dcterms:W3CDTF">2025-12-03T08:54:28Z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27BFEFA1326B471D88FC2516EE212643_11</vt:lpwstr>
  </property>
  <property fmtid="{D5CDD505-2E9C-101B-9397-08002B2CF9AE}" pid="4" name="KSOTemplateDocerSaveRecord">
    <vt:lpwstr>eyJoZGlkIjoiNTE3NDBmYmJjNGEzZjBlZTEyNWM4NWMzZjUxMDZmZmQiLCJ1c2VySWQiOiI4NTkyNzM0NDgifQ==</vt:lpwstr>
  </property>
</Properties>
</file>